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5F5" w:rsidRPr="00B565F5" w:rsidRDefault="00B565F5" w:rsidP="00B565F5">
      <w:pPr>
        <w:widowControl/>
        <w:shd w:val="clear" w:color="auto" w:fill="FFFFFF"/>
        <w:spacing w:line="384" w:lineRule="atLeast"/>
        <w:rPr>
          <w:rFonts w:ascii="微软雅黑" w:eastAsia="微软雅黑" w:hAnsi="微软雅黑" w:cs="宋体"/>
          <w:color w:val="3E3E3E"/>
          <w:kern w:val="0"/>
          <w:sz w:val="24"/>
          <w:szCs w:val="24"/>
        </w:rPr>
      </w:pPr>
      <w:r w:rsidRPr="00B565F5">
        <w:rPr>
          <w:rFonts w:ascii="微软雅黑" w:eastAsia="微软雅黑" w:hAnsi="微软雅黑" w:cs="宋体" w:hint="eastAsia"/>
          <w:b/>
          <w:bCs/>
          <w:color w:val="D84FA9"/>
          <w:kern w:val="0"/>
          <w:sz w:val="24"/>
          <w:szCs w:val="24"/>
        </w:rPr>
        <w:t>1　乳腺癌筛查指南（附录Ⅰ）</w:t>
      </w:r>
    </w:p>
    <w:p w:rsidR="00B565F5" w:rsidRPr="00B565F5" w:rsidRDefault="00B565F5" w:rsidP="00B565F5">
      <w:pPr>
        <w:widowControl/>
        <w:shd w:val="clear" w:color="auto" w:fill="FFFFFF"/>
        <w:spacing w:line="384" w:lineRule="atLeast"/>
        <w:jc w:val="left"/>
        <w:rPr>
          <w:rFonts w:ascii="微软雅黑" w:eastAsia="微软雅黑" w:hAnsi="微软雅黑" w:cs="宋体" w:hint="eastAsia"/>
          <w:color w:val="3E3E3E"/>
          <w:kern w:val="0"/>
          <w:sz w:val="24"/>
          <w:szCs w:val="24"/>
        </w:rPr>
      </w:pP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b/>
          <w:bCs/>
          <w:color w:val="D84FA9"/>
          <w:kern w:val="0"/>
          <w:sz w:val="24"/>
          <w:szCs w:val="24"/>
        </w:rPr>
        <w:t>1.1　乳腺癌筛查的定义、目的及分类</w:t>
      </w: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color w:val="3E3E3E"/>
          <w:kern w:val="0"/>
          <w:sz w:val="24"/>
          <w:szCs w:val="24"/>
        </w:rPr>
        <w:t>⑴肿瘤筛查，或称作普查，是针对无症状人群的一种防癌措施，而针对有症状人群的医学检查称作诊断。</w:t>
      </w: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color w:val="3E3E3E"/>
          <w:kern w:val="0"/>
          <w:sz w:val="24"/>
          <w:szCs w:val="24"/>
        </w:rPr>
        <w:t>⑵乳腺癌筛查是通过有效、简便、经济的乳腺检查措施，对无症状妇女开展筛查，以期早期发现、早期诊断及早期治疗。其最终目的是要降低人群乳腺癌的死亡率。</w:t>
      </w: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color w:val="3E3E3E"/>
          <w:kern w:val="0"/>
          <w:sz w:val="24"/>
          <w:szCs w:val="24"/>
        </w:rPr>
        <w:t>⑶筛查分为机会性筛查和群体筛查。机会性筛查是妇女个体主动或自愿到提供乳腺筛查的医疗机构进行相关检查；群体筛查是社区或单位实体有组织地为适龄妇女提供乳腺检查。</w:t>
      </w:r>
    </w:p>
    <w:p w:rsidR="00B565F5" w:rsidRPr="00B565F5" w:rsidRDefault="00B565F5" w:rsidP="00B565F5">
      <w:pPr>
        <w:widowControl/>
        <w:shd w:val="clear" w:color="auto" w:fill="FFFFFF"/>
        <w:spacing w:line="384" w:lineRule="atLeast"/>
        <w:jc w:val="left"/>
        <w:rPr>
          <w:rFonts w:ascii="微软雅黑" w:eastAsia="微软雅黑" w:hAnsi="微软雅黑" w:cs="宋体" w:hint="eastAsia"/>
          <w:color w:val="3E3E3E"/>
          <w:kern w:val="0"/>
          <w:sz w:val="24"/>
          <w:szCs w:val="24"/>
        </w:rPr>
      </w:pP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b/>
          <w:bCs/>
          <w:color w:val="D84FA9"/>
          <w:kern w:val="0"/>
          <w:sz w:val="24"/>
          <w:szCs w:val="24"/>
        </w:rPr>
        <w:t>1.2　妇女参加乳腺癌筛查的起始年龄</w:t>
      </w: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color w:val="3E3E3E"/>
          <w:kern w:val="0"/>
          <w:sz w:val="24"/>
          <w:szCs w:val="24"/>
        </w:rPr>
        <w:t>⑴机会性筛查一般建议40岁开始，但对于一些乳腺癌高危人群可将筛查起始年龄提前到40岁以前。</w:t>
      </w: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color w:val="3E3E3E"/>
          <w:kern w:val="0"/>
          <w:sz w:val="24"/>
          <w:szCs w:val="24"/>
        </w:rPr>
        <w:t>⑵群体筛查国内暂无推荐年龄，国际上推荐40～50岁开始，目前国内开展的群体筛查采用的年龄均属于研究或探索性质，缺乏严格随机对照研究的不同年龄成本效益分析数据。</w:t>
      </w:r>
    </w:p>
    <w:p w:rsidR="00B565F5" w:rsidRPr="00B565F5" w:rsidRDefault="00B565F5" w:rsidP="00B565F5">
      <w:pPr>
        <w:widowControl/>
        <w:shd w:val="clear" w:color="auto" w:fill="FFFFFF"/>
        <w:spacing w:line="384" w:lineRule="atLeast"/>
        <w:jc w:val="left"/>
        <w:rPr>
          <w:rFonts w:ascii="微软雅黑" w:eastAsia="微软雅黑" w:hAnsi="微软雅黑" w:cs="宋体" w:hint="eastAsia"/>
          <w:color w:val="3E3E3E"/>
          <w:kern w:val="0"/>
          <w:sz w:val="24"/>
          <w:szCs w:val="24"/>
        </w:rPr>
      </w:pP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b/>
          <w:bCs/>
          <w:color w:val="D84FA9"/>
          <w:kern w:val="0"/>
          <w:sz w:val="24"/>
          <w:szCs w:val="24"/>
        </w:rPr>
        <w:t>1.3　用于乳腺癌筛查的措施</w:t>
      </w: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b/>
          <w:bCs/>
          <w:color w:val="D84FA9"/>
          <w:kern w:val="0"/>
          <w:sz w:val="24"/>
          <w:szCs w:val="24"/>
        </w:rPr>
        <w:t>1.3.1　乳腺X线检查</w:t>
      </w: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color w:val="3E3E3E"/>
          <w:kern w:val="0"/>
          <w:sz w:val="24"/>
          <w:szCs w:val="24"/>
        </w:rPr>
        <w:t>⑴乳腺X线检查对降低40岁以上妇女乳腺癌死亡率的作用已经得到了国内外大多数学者的认可。</w:t>
      </w: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color w:val="3E3E3E"/>
          <w:kern w:val="0"/>
          <w:sz w:val="24"/>
          <w:szCs w:val="24"/>
        </w:rPr>
        <w:lastRenderedPageBreak/>
        <w:t>⑵建议每侧乳房常规应摄2个体位，即头足轴（CC）位和内外侧斜（MLO）位。</w:t>
      </w: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color w:val="3E3E3E"/>
          <w:kern w:val="0"/>
          <w:sz w:val="24"/>
          <w:szCs w:val="24"/>
        </w:rPr>
        <w:t>⑶乳腺X线影像应经过2位以上专业放射科医师独立阅片。</w:t>
      </w: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color w:val="3E3E3E"/>
          <w:kern w:val="0"/>
          <w:sz w:val="24"/>
          <w:szCs w:val="24"/>
        </w:rPr>
        <w:t>⑷乳腺X线筛查对50岁以上亚洲妇女准确性高。但乳腺X线对40岁以下及致密乳腺诊断准确性欠佳。不建议对40岁以下、无明确乳腺癌高危因素或临床体检未发现异常的妇女进行乳腺X线检查。</w:t>
      </w: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color w:val="3E3E3E"/>
          <w:kern w:val="0"/>
          <w:sz w:val="24"/>
          <w:szCs w:val="24"/>
        </w:rPr>
        <w:t>⑸常规乳腺X线检查的射线剂量低，不会危害妇女健康，但正常女性无需短期内反复进行乳腺X线检查。</w:t>
      </w: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b/>
          <w:bCs/>
          <w:color w:val="D84FA9"/>
          <w:kern w:val="0"/>
          <w:sz w:val="24"/>
          <w:szCs w:val="24"/>
        </w:rPr>
        <w:t>1.3.2　乳腺临床体检</w:t>
      </w: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color w:val="3E3E3E"/>
          <w:kern w:val="0"/>
          <w:sz w:val="24"/>
          <w:szCs w:val="24"/>
        </w:rPr>
        <w:t>目前尚无证据显示乳腺临床体检单独作为乳腺癌筛查的方法可以提高乳腺癌早期诊断率和降低死亡率。但在经济欠发达、设备条件有限及妇女对疾病认知度较不充分的地区仍可以作为一种选择。</w:t>
      </w: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b/>
          <w:bCs/>
          <w:color w:val="D84FA9"/>
          <w:kern w:val="0"/>
          <w:sz w:val="24"/>
          <w:szCs w:val="24"/>
        </w:rPr>
        <w:t>1.3.3　乳腺自我检查</w:t>
      </w: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color w:val="3E3E3E"/>
          <w:kern w:val="0"/>
          <w:sz w:val="24"/>
          <w:szCs w:val="24"/>
        </w:rPr>
        <w:t>⑴乳腺自我检查不能提高乳腺癌早期诊断检出率和降低死亡率。</w:t>
      </w: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color w:val="3E3E3E"/>
          <w:kern w:val="0"/>
          <w:sz w:val="24"/>
          <w:szCs w:val="24"/>
        </w:rPr>
        <w:t>⑵由于可以提高妇女的防癌意识，故仍鼓励基层医务工作者向妇女传授每月1次乳腺自我检查的方法，建议绝经前妇女应选择月经来潮后7～14d进行。</w:t>
      </w: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b/>
          <w:bCs/>
          <w:color w:val="D84FA9"/>
          <w:kern w:val="0"/>
          <w:sz w:val="24"/>
          <w:szCs w:val="24"/>
        </w:rPr>
        <w:t>1.3.4　乳腺超声检查</w:t>
      </w: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color w:val="3E3E3E"/>
          <w:kern w:val="0"/>
          <w:sz w:val="24"/>
          <w:szCs w:val="24"/>
        </w:rPr>
        <w:t>可以作为乳腺X线筛查提示致密型乳腺或乳腺X线筛查结果为美国放射学会的乳腺影像报告和数据系统（BI-RADS）0类的补充检查措施。</w:t>
      </w: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b/>
          <w:bCs/>
          <w:color w:val="D84FA9"/>
          <w:kern w:val="0"/>
          <w:sz w:val="24"/>
          <w:szCs w:val="24"/>
        </w:rPr>
        <w:t>1.3.5　乳腺MRI检查</w:t>
      </w: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color w:val="3E3E3E"/>
          <w:kern w:val="0"/>
          <w:sz w:val="24"/>
          <w:szCs w:val="24"/>
        </w:rPr>
        <w:t>⑴MRI检查可作为乳腺X线检查、乳腺临床体检或乳腺超声检查发现的疑似病例的补充检查措施。</w:t>
      </w: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color w:val="3E3E3E"/>
          <w:kern w:val="0"/>
          <w:sz w:val="24"/>
          <w:szCs w:val="24"/>
        </w:rPr>
        <w:t>⑵可与乳腺X线联合用于BRCA1/2基因有突变携带者的乳腺癌筛查。</w:t>
      </w: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b/>
          <w:bCs/>
          <w:color w:val="D84FA9"/>
          <w:kern w:val="0"/>
          <w:sz w:val="24"/>
          <w:szCs w:val="24"/>
        </w:rPr>
        <w:lastRenderedPageBreak/>
        <w:t>1.3.6　其他检查</w:t>
      </w: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color w:val="3E3E3E"/>
          <w:kern w:val="0"/>
          <w:sz w:val="24"/>
          <w:szCs w:val="24"/>
        </w:rPr>
        <w:t>目前的证据不支持近红外线扫描、核素扫描、导管灌洗及血氧检测等检查作为乳腺癌筛查方法。</w:t>
      </w: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color w:val="3E3E3E"/>
          <w:kern w:val="0"/>
          <w:sz w:val="24"/>
          <w:szCs w:val="24"/>
        </w:rPr>
        <w:br/>
      </w: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b/>
          <w:bCs/>
          <w:color w:val="D84FA9"/>
          <w:kern w:val="0"/>
          <w:sz w:val="24"/>
          <w:szCs w:val="24"/>
        </w:rPr>
        <w:t>1.4　一般人群妇女乳腺癌筛查指南</w:t>
      </w: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b/>
          <w:bCs/>
          <w:color w:val="D84FA9"/>
          <w:kern w:val="0"/>
          <w:sz w:val="24"/>
          <w:szCs w:val="24"/>
        </w:rPr>
        <w:t>1.4.1　20～39岁</w:t>
      </w: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color w:val="3E3E3E"/>
          <w:kern w:val="0"/>
          <w:sz w:val="24"/>
          <w:szCs w:val="24"/>
        </w:rPr>
        <w:t>不推荐对该年龄段人群进行乳腺筛查。</w:t>
      </w: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b/>
          <w:bCs/>
          <w:color w:val="D84FA9"/>
          <w:kern w:val="0"/>
          <w:sz w:val="24"/>
          <w:szCs w:val="24"/>
        </w:rPr>
        <w:t>1.4.2　40～45岁</w:t>
      </w: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color w:val="3E3E3E"/>
          <w:kern w:val="0"/>
          <w:sz w:val="24"/>
          <w:szCs w:val="24"/>
        </w:rPr>
        <w:t>⑴适合机会性筛查。</w:t>
      </w: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color w:val="3E3E3E"/>
          <w:kern w:val="0"/>
          <w:sz w:val="24"/>
          <w:szCs w:val="24"/>
        </w:rPr>
        <w:t>⑵每年1次乳腺X线检查。</w:t>
      </w: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color w:val="3E3E3E"/>
          <w:kern w:val="0"/>
          <w:sz w:val="24"/>
          <w:szCs w:val="24"/>
        </w:rPr>
        <w:t>⑶对致密型乳腺（腺体为c型或d型）推荐与B超检查联合。</w:t>
      </w: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b/>
          <w:bCs/>
          <w:color w:val="D84FA9"/>
          <w:kern w:val="0"/>
          <w:sz w:val="24"/>
          <w:szCs w:val="24"/>
        </w:rPr>
        <w:t>1.4.3　45～69岁</w:t>
      </w: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color w:val="3E3E3E"/>
          <w:kern w:val="0"/>
          <w:sz w:val="24"/>
          <w:szCs w:val="24"/>
        </w:rPr>
        <w:t>⑴适合机会性筛查和人群普查。</w:t>
      </w: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color w:val="3E3E3E"/>
          <w:kern w:val="0"/>
          <w:sz w:val="24"/>
          <w:szCs w:val="24"/>
        </w:rPr>
        <w:t>⑵每1～2年1次乳腺X线检查。</w:t>
      </w: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color w:val="3E3E3E"/>
          <w:kern w:val="0"/>
          <w:sz w:val="24"/>
          <w:szCs w:val="24"/>
        </w:rPr>
        <w:t>⑶对致密型乳腺推荐与B超检查联合。</w:t>
      </w: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b/>
          <w:bCs/>
          <w:color w:val="D84FA9"/>
          <w:kern w:val="0"/>
          <w:sz w:val="24"/>
          <w:szCs w:val="24"/>
        </w:rPr>
        <w:t>1.4.4　70岁或以上</w:t>
      </w: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color w:val="3E3E3E"/>
          <w:kern w:val="0"/>
          <w:sz w:val="24"/>
          <w:szCs w:val="24"/>
        </w:rPr>
        <w:t>⑴适合机会性筛查。</w:t>
      </w: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color w:val="3E3E3E"/>
          <w:kern w:val="0"/>
          <w:sz w:val="24"/>
          <w:szCs w:val="24"/>
        </w:rPr>
        <w:t>⑵每2年1次乳腺X线检查。</w:t>
      </w:r>
    </w:p>
    <w:p w:rsidR="00B565F5" w:rsidRPr="00B565F5" w:rsidRDefault="00B565F5" w:rsidP="00B565F5">
      <w:pPr>
        <w:widowControl/>
        <w:shd w:val="clear" w:color="auto" w:fill="FFFFFF"/>
        <w:spacing w:line="384" w:lineRule="atLeast"/>
        <w:jc w:val="left"/>
        <w:rPr>
          <w:rFonts w:ascii="微软雅黑" w:eastAsia="微软雅黑" w:hAnsi="微软雅黑" w:cs="宋体" w:hint="eastAsia"/>
          <w:color w:val="3E3E3E"/>
          <w:kern w:val="0"/>
          <w:sz w:val="24"/>
          <w:szCs w:val="24"/>
        </w:rPr>
      </w:pP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b/>
          <w:bCs/>
          <w:color w:val="D84FA9"/>
          <w:kern w:val="0"/>
          <w:sz w:val="24"/>
          <w:szCs w:val="24"/>
        </w:rPr>
        <w:t>1.5　乳腺癌高危人群筛查意见</w:t>
      </w: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color w:val="3E3E3E"/>
          <w:kern w:val="0"/>
          <w:sz w:val="24"/>
          <w:szCs w:val="24"/>
        </w:rPr>
        <w:lastRenderedPageBreak/>
        <w:t>建议对乳腺癌高危人群提前进行筛查（小于40岁），筛查间期推荐每年1次，筛查手段除了应用一般人群乳腺X线检查之外，还可以应用MRI等新的影像学手段。</w:t>
      </w:r>
    </w:p>
    <w:p w:rsidR="00B565F5" w:rsidRPr="00B565F5" w:rsidRDefault="00B565F5" w:rsidP="00B565F5">
      <w:pPr>
        <w:widowControl/>
        <w:shd w:val="clear" w:color="auto" w:fill="FFFFFF"/>
        <w:spacing w:line="384" w:lineRule="atLeast"/>
        <w:jc w:val="left"/>
        <w:rPr>
          <w:rFonts w:ascii="微软雅黑" w:eastAsia="微软雅黑" w:hAnsi="微软雅黑" w:cs="宋体" w:hint="eastAsia"/>
          <w:color w:val="3E3E3E"/>
          <w:kern w:val="0"/>
          <w:sz w:val="24"/>
          <w:szCs w:val="24"/>
        </w:rPr>
      </w:pP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b/>
          <w:bCs/>
          <w:color w:val="D84FA9"/>
          <w:kern w:val="0"/>
          <w:sz w:val="24"/>
          <w:szCs w:val="24"/>
        </w:rPr>
        <w:t>1.6　乳腺癌高危人群的定义</w:t>
      </w: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color w:val="3E3E3E"/>
          <w:kern w:val="0"/>
          <w:sz w:val="24"/>
          <w:szCs w:val="24"/>
        </w:rPr>
        <w:t>⑴有明显的乳腺癌遗传倾向者（附录Ⅰ）。</w:t>
      </w: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color w:val="3E3E3E"/>
          <w:kern w:val="0"/>
          <w:sz w:val="24"/>
          <w:szCs w:val="24"/>
        </w:rPr>
        <w:t>⑵既往有乳腺导管或小叶不典型增生或小叶原位癌（LCIS）的患者。</w:t>
      </w: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color w:val="3E3E3E"/>
          <w:kern w:val="0"/>
          <w:sz w:val="24"/>
          <w:szCs w:val="24"/>
        </w:rPr>
        <w:t>⑶既往行胸部放疗。</w:t>
      </w:r>
    </w:p>
    <w:p w:rsidR="00B565F5" w:rsidRPr="00B565F5" w:rsidRDefault="00B565F5" w:rsidP="00B565F5">
      <w:pPr>
        <w:widowControl/>
        <w:shd w:val="clear" w:color="auto" w:fill="FFFFFF"/>
        <w:spacing w:line="384" w:lineRule="atLeast"/>
        <w:jc w:val="left"/>
        <w:rPr>
          <w:rFonts w:ascii="微软雅黑" w:eastAsia="微软雅黑" w:hAnsi="微软雅黑" w:cs="宋体" w:hint="eastAsia"/>
          <w:color w:val="3E3E3E"/>
          <w:kern w:val="0"/>
          <w:sz w:val="24"/>
          <w:szCs w:val="24"/>
        </w:rPr>
      </w:pP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b/>
          <w:bCs/>
          <w:color w:val="3E3E3E"/>
          <w:kern w:val="0"/>
          <w:sz w:val="24"/>
          <w:szCs w:val="24"/>
        </w:rPr>
        <w:t>附录Ⅰ　遗传性高危人群</w:t>
      </w: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color w:val="3E3E3E"/>
          <w:kern w:val="0"/>
          <w:sz w:val="24"/>
          <w:szCs w:val="24"/>
        </w:rPr>
        <w:t>遗传性乳腺癌-卵巢癌综合征基因检测标准【A,B】：</w:t>
      </w: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color w:val="D84FA9"/>
          <w:kern w:val="0"/>
          <w:sz w:val="24"/>
          <w:szCs w:val="24"/>
        </w:rPr>
        <w:t>⑴具有血缘关系的亲属中有BRCA1/BRCA2基因突变的携带者。</w:t>
      </w: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color w:val="D84FA9"/>
          <w:kern w:val="0"/>
          <w:sz w:val="24"/>
          <w:szCs w:val="24"/>
        </w:rPr>
        <w:t>⑵符合以下1个或多个条件的乳腺癌患者【C】：</w:t>
      </w: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color w:val="3E3E3E"/>
          <w:kern w:val="0"/>
          <w:sz w:val="24"/>
          <w:szCs w:val="24"/>
        </w:rPr>
        <w:t>①发病年龄小于等于45岁；</w:t>
      </w: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color w:val="3E3E3E"/>
          <w:kern w:val="0"/>
          <w:sz w:val="24"/>
          <w:szCs w:val="24"/>
        </w:rPr>
        <w:t>②发病年龄小于等于50岁并且有1个及以上具有血缘关系的近亲【D】也为发病年龄小于等于50岁的乳腺癌患者，和（或）1个及以上的近亲为任何年龄的卵巢上皮癌/输卵管癌/原发性腹膜癌患者；</w:t>
      </w: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color w:val="3E3E3E"/>
          <w:kern w:val="0"/>
          <w:sz w:val="24"/>
          <w:szCs w:val="24"/>
        </w:rPr>
        <w:t>③单个个体患2个原发性乳腺癌【E】，并且首次发病年龄小于等于50岁；</w:t>
      </w: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color w:val="3E3E3E"/>
          <w:kern w:val="0"/>
          <w:sz w:val="24"/>
          <w:szCs w:val="24"/>
        </w:rPr>
        <w:t>④发病年龄不限，同时2个或2个以上具有血缘关系的近亲患有任何发病年龄的乳腺癌和（或）卵巢上皮癌、输卵管癌、原发性腹膜癌；</w:t>
      </w: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color w:val="3E3E3E"/>
          <w:kern w:val="0"/>
          <w:sz w:val="24"/>
          <w:szCs w:val="24"/>
        </w:rPr>
        <w:t>⑤具有血缘关系的男性近亲患有乳腺癌；</w:t>
      </w: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color w:val="3E3E3E"/>
          <w:kern w:val="0"/>
          <w:sz w:val="24"/>
          <w:szCs w:val="24"/>
        </w:rPr>
        <w:t>⑥合并有卵巢上皮癌、输卵管癌、原发性腹膜癌的既往史。</w:t>
      </w: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color w:val="D84FA9"/>
          <w:kern w:val="0"/>
          <w:sz w:val="24"/>
          <w:szCs w:val="24"/>
        </w:rPr>
        <w:lastRenderedPageBreak/>
        <w:t>⑶卵巢上皮癌、输卵管癌、原发性腹膜癌患者。</w:t>
      </w: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color w:val="D84FA9"/>
          <w:kern w:val="0"/>
          <w:sz w:val="24"/>
          <w:szCs w:val="24"/>
        </w:rPr>
        <w:t>⑷男性乳腺癌患者。</w:t>
      </w: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color w:val="D84FA9"/>
          <w:kern w:val="0"/>
          <w:sz w:val="24"/>
          <w:szCs w:val="24"/>
        </w:rPr>
        <w:t>⑸具有以下家族史：</w:t>
      </w: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color w:val="3E3E3E"/>
          <w:kern w:val="0"/>
          <w:sz w:val="24"/>
          <w:szCs w:val="24"/>
        </w:rPr>
        <w:t>①具有血缘关系的一级或二级亲属中符合以上任何条件；</w:t>
      </w: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color w:val="3E3E3E"/>
          <w:kern w:val="0"/>
          <w:sz w:val="24"/>
          <w:szCs w:val="24"/>
        </w:rPr>
        <w:t>②具有血缘关系的三级亲属中有2个或2个以上乳腺癌患者（至少有1个发病年龄小于等于50岁）和（或）卵巢上皮癌/输卵管癌/原发性腹膜癌患者。</w:t>
      </w:r>
    </w:p>
    <w:p w:rsidR="00B565F5" w:rsidRPr="00B565F5" w:rsidRDefault="00B565F5" w:rsidP="00B565F5">
      <w:pPr>
        <w:widowControl/>
        <w:shd w:val="clear" w:color="auto" w:fill="FFFFFF"/>
        <w:spacing w:line="384" w:lineRule="atLeast"/>
        <w:jc w:val="left"/>
        <w:rPr>
          <w:rFonts w:ascii="微软雅黑" w:eastAsia="微软雅黑" w:hAnsi="微软雅黑" w:cs="宋体" w:hint="eastAsia"/>
          <w:color w:val="3E3E3E"/>
          <w:kern w:val="0"/>
          <w:sz w:val="24"/>
          <w:szCs w:val="24"/>
        </w:rPr>
      </w:pPr>
    </w:p>
    <w:p w:rsidR="00B565F5" w:rsidRPr="00B565F5" w:rsidRDefault="00B565F5" w:rsidP="00B565F5">
      <w:pPr>
        <w:widowControl/>
        <w:jc w:val="left"/>
        <w:rPr>
          <w:rFonts w:ascii="宋体" w:eastAsia="宋体" w:hAnsi="宋体" w:cs="宋体" w:hint="eastAsia"/>
          <w:kern w:val="0"/>
          <w:sz w:val="24"/>
          <w:szCs w:val="24"/>
        </w:rPr>
      </w:pPr>
      <w:r w:rsidRPr="00B565F5">
        <w:rPr>
          <w:rFonts w:ascii="宋体" w:eastAsia="宋体" w:hAnsi="宋体" w:cs="宋体"/>
          <w:kern w:val="0"/>
          <w:sz w:val="24"/>
          <w:szCs w:val="24"/>
        </w:rPr>
        <w:pict>
          <v:rect id="_x0000_i1025" style="width:0;height:1.5pt" o:hralign="center" o:hrstd="t" o:hrnoshade="t" o:hr="t" fillcolor="#3e3e3e" stroked="f"/>
        </w:pict>
      </w:r>
    </w:p>
    <w:p w:rsidR="00B565F5" w:rsidRPr="00B565F5" w:rsidRDefault="00B565F5" w:rsidP="00B565F5">
      <w:pPr>
        <w:widowControl/>
        <w:shd w:val="clear" w:color="auto" w:fill="FFFFFF"/>
        <w:spacing w:line="384" w:lineRule="atLeast"/>
        <w:rPr>
          <w:rFonts w:ascii="微软雅黑" w:eastAsia="微软雅黑" w:hAnsi="微软雅黑" w:cs="宋体"/>
          <w:color w:val="3E3E3E"/>
          <w:kern w:val="0"/>
          <w:sz w:val="24"/>
          <w:szCs w:val="24"/>
        </w:rPr>
      </w:pPr>
      <w:r w:rsidRPr="00B565F5">
        <w:rPr>
          <w:rFonts w:ascii="微软雅黑" w:eastAsia="微软雅黑" w:hAnsi="微软雅黑" w:cs="宋体" w:hint="eastAsia"/>
          <w:color w:val="3E3E3E"/>
          <w:kern w:val="0"/>
          <w:sz w:val="24"/>
          <w:szCs w:val="24"/>
        </w:rPr>
        <w:br/>
      </w:r>
    </w:p>
    <w:p w:rsidR="00B565F5" w:rsidRPr="00B565F5" w:rsidRDefault="00B565F5" w:rsidP="00B565F5">
      <w:pPr>
        <w:widowControl/>
        <w:shd w:val="clear" w:color="auto" w:fill="FFFFFF"/>
        <w:spacing w:line="384" w:lineRule="atLeast"/>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color w:val="3E3E3E"/>
          <w:kern w:val="0"/>
          <w:sz w:val="24"/>
          <w:szCs w:val="24"/>
        </w:rPr>
        <w:t>注：</w:t>
      </w:r>
      <w:r w:rsidRPr="00B565F5">
        <w:rPr>
          <w:rFonts w:ascii="微软雅黑" w:eastAsia="微软雅黑" w:hAnsi="微软雅黑" w:cs="宋体" w:hint="eastAsia"/>
          <w:color w:val="3E3E3E"/>
          <w:kern w:val="0"/>
          <w:sz w:val="24"/>
          <w:szCs w:val="24"/>
        </w:rPr>
        <w:br/>
      </w:r>
    </w:p>
    <w:p w:rsidR="00B565F5" w:rsidRPr="00B565F5" w:rsidRDefault="00B565F5" w:rsidP="00B565F5">
      <w:pPr>
        <w:widowControl/>
        <w:numPr>
          <w:ilvl w:val="0"/>
          <w:numId w:val="1"/>
        </w:numPr>
        <w:shd w:val="clear" w:color="auto" w:fill="FFFFFF"/>
        <w:spacing w:line="384" w:lineRule="atLeast"/>
        <w:ind w:left="0"/>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color w:val="3E3E3E"/>
          <w:kern w:val="0"/>
          <w:sz w:val="24"/>
          <w:szCs w:val="24"/>
        </w:rPr>
        <w:t>符合1个或多个条件提示可能为遗传性乳腺癌-卵巢癌综合征，有必要进行专业性评估。当审查患者的家族史时，父系和母系亲属的患癌情况应该分开考虑。早发性乳腺癌和（或）任何年龄的卵巢上皮癌、输卵管癌、原发性腹膜癌提示可能为遗传性乳腺癌-卵巢癌综合征。在一些遗传性乳腺癌-卵巢癌综合征的家系中，还包括前列腺癌、胰腺癌、胃癌和黑素瘤。</w:t>
      </w:r>
    </w:p>
    <w:p w:rsidR="00B565F5" w:rsidRPr="00B565F5" w:rsidRDefault="00B565F5" w:rsidP="00B565F5">
      <w:pPr>
        <w:widowControl/>
        <w:numPr>
          <w:ilvl w:val="0"/>
          <w:numId w:val="1"/>
        </w:numPr>
        <w:shd w:val="clear" w:color="auto" w:fill="FFFFFF"/>
        <w:spacing w:line="384" w:lineRule="atLeast"/>
        <w:ind w:left="0"/>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color w:val="3E3E3E"/>
          <w:kern w:val="0"/>
          <w:sz w:val="24"/>
          <w:szCs w:val="24"/>
        </w:rPr>
        <w:t>其他考虑因素：家族史有限的个体，例如女性一级或二级亲属小于2个，或者女性亲属的年龄大于45岁，在这种情况下携带突变的可能性往往会被低估。对发病年龄小于等于40岁的三阴性乳腺癌患者应考虑进行BRCA1/2基因突变的检测。</w:t>
      </w:r>
    </w:p>
    <w:p w:rsidR="00B565F5" w:rsidRPr="00B565F5" w:rsidRDefault="00B565F5" w:rsidP="00B565F5">
      <w:pPr>
        <w:widowControl/>
        <w:numPr>
          <w:ilvl w:val="0"/>
          <w:numId w:val="1"/>
        </w:numPr>
        <w:shd w:val="clear" w:color="auto" w:fill="FFFFFF"/>
        <w:spacing w:line="384" w:lineRule="atLeast"/>
        <w:ind w:left="0"/>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color w:val="3E3E3E"/>
          <w:kern w:val="0"/>
          <w:sz w:val="24"/>
          <w:szCs w:val="24"/>
        </w:rPr>
        <w:t>乳腺癌包括浸润性癌和导管内癌。</w:t>
      </w:r>
    </w:p>
    <w:p w:rsidR="00B565F5" w:rsidRPr="00B565F5" w:rsidRDefault="00B565F5" w:rsidP="00B565F5">
      <w:pPr>
        <w:widowControl/>
        <w:numPr>
          <w:ilvl w:val="0"/>
          <w:numId w:val="1"/>
        </w:numPr>
        <w:shd w:val="clear" w:color="auto" w:fill="FFFFFF"/>
        <w:spacing w:line="384" w:lineRule="atLeast"/>
        <w:ind w:left="0"/>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color w:val="3E3E3E"/>
          <w:kern w:val="0"/>
          <w:sz w:val="24"/>
          <w:szCs w:val="24"/>
        </w:rPr>
        <w:t>近亲是指一级、二级和三级亲属。</w:t>
      </w:r>
    </w:p>
    <w:p w:rsidR="00B565F5" w:rsidRPr="00B565F5" w:rsidRDefault="00B565F5" w:rsidP="00B565F5">
      <w:pPr>
        <w:widowControl/>
        <w:numPr>
          <w:ilvl w:val="0"/>
          <w:numId w:val="1"/>
        </w:numPr>
        <w:shd w:val="clear" w:color="auto" w:fill="FFFFFF"/>
        <w:spacing w:line="384" w:lineRule="atLeast"/>
        <w:ind w:left="0"/>
        <w:rPr>
          <w:rFonts w:ascii="微软雅黑" w:eastAsia="微软雅黑" w:hAnsi="微软雅黑" w:cs="宋体" w:hint="eastAsia"/>
          <w:color w:val="3E3E3E"/>
          <w:kern w:val="0"/>
          <w:sz w:val="24"/>
          <w:szCs w:val="24"/>
        </w:rPr>
      </w:pPr>
      <w:r w:rsidRPr="00B565F5">
        <w:rPr>
          <w:rFonts w:ascii="微软雅黑" w:eastAsia="微软雅黑" w:hAnsi="微软雅黑" w:cs="宋体" w:hint="eastAsia"/>
          <w:color w:val="3E3E3E"/>
          <w:kern w:val="0"/>
          <w:sz w:val="24"/>
          <w:szCs w:val="24"/>
        </w:rPr>
        <w:lastRenderedPageBreak/>
        <w:t>2个原发性乳腺癌包括双侧乳腺癌或者同侧乳腺的2个或多个明确的不同来源的原发性乳腺癌。</w:t>
      </w:r>
    </w:p>
    <w:p w:rsidR="00F40CEA" w:rsidRPr="00B565F5" w:rsidRDefault="00F40CEA">
      <w:pPr>
        <w:rPr>
          <w:rFonts w:hint="eastAsia"/>
        </w:rPr>
      </w:pPr>
    </w:p>
    <w:sectPr w:rsidR="00F40CEA" w:rsidRPr="00B565F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0CEA" w:rsidRDefault="00F40CEA" w:rsidP="000254C1">
      <w:r>
        <w:separator/>
      </w:r>
    </w:p>
  </w:endnote>
  <w:endnote w:type="continuationSeparator" w:id="1">
    <w:p w:rsidR="00F40CEA" w:rsidRDefault="00F40CEA" w:rsidP="000254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0CEA" w:rsidRDefault="00F40CEA" w:rsidP="000254C1">
      <w:r>
        <w:separator/>
      </w:r>
    </w:p>
  </w:footnote>
  <w:footnote w:type="continuationSeparator" w:id="1">
    <w:p w:rsidR="00F40CEA" w:rsidRDefault="00F40CEA" w:rsidP="000254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821204"/>
    <w:multiLevelType w:val="multilevel"/>
    <w:tmpl w:val="C70C8D0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254C1"/>
    <w:rsid w:val="000254C1"/>
    <w:rsid w:val="003306C0"/>
    <w:rsid w:val="00B565F5"/>
    <w:rsid w:val="00F40CEA"/>
    <w:rsid w:val="00FC2A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254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254C1"/>
    <w:rPr>
      <w:sz w:val="18"/>
      <w:szCs w:val="18"/>
    </w:rPr>
  </w:style>
  <w:style w:type="paragraph" w:styleId="a4">
    <w:name w:val="footer"/>
    <w:basedOn w:val="a"/>
    <w:link w:val="Char0"/>
    <w:uiPriority w:val="99"/>
    <w:semiHidden/>
    <w:unhideWhenUsed/>
    <w:rsid w:val="000254C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254C1"/>
    <w:rPr>
      <w:sz w:val="18"/>
      <w:szCs w:val="18"/>
    </w:rPr>
  </w:style>
  <w:style w:type="paragraph" w:styleId="a5">
    <w:name w:val="Normal (Web)"/>
    <w:basedOn w:val="a"/>
    <w:uiPriority w:val="99"/>
    <w:unhideWhenUsed/>
    <w:rsid w:val="000254C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254C1"/>
    <w:rPr>
      <w:b/>
      <w:bCs/>
    </w:rPr>
  </w:style>
  <w:style w:type="character" w:styleId="a7">
    <w:name w:val="Emphasis"/>
    <w:basedOn w:val="a0"/>
    <w:uiPriority w:val="20"/>
    <w:qFormat/>
    <w:rsid w:val="000254C1"/>
    <w:rPr>
      <w:i/>
      <w:iCs/>
    </w:rPr>
  </w:style>
  <w:style w:type="character" w:customStyle="1" w:styleId="apple-converted-space">
    <w:name w:val="apple-converted-space"/>
    <w:basedOn w:val="a0"/>
    <w:rsid w:val="000254C1"/>
  </w:style>
</w:styles>
</file>

<file path=word/webSettings.xml><?xml version="1.0" encoding="utf-8"?>
<w:webSettings xmlns:r="http://schemas.openxmlformats.org/officeDocument/2006/relationships" xmlns:w="http://schemas.openxmlformats.org/wordprocessingml/2006/main">
  <w:divs>
    <w:div w:id="293028998">
      <w:bodyDiv w:val="1"/>
      <w:marLeft w:val="0"/>
      <w:marRight w:val="0"/>
      <w:marTop w:val="0"/>
      <w:marBottom w:val="0"/>
      <w:divBdr>
        <w:top w:val="none" w:sz="0" w:space="0" w:color="auto"/>
        <w:left w:val="none" w:sz="0" w:space="0" w:color="auto"/>
        <w:bottom w:val="none" w:sz="0" w:space="0" w:color="auto"/>
        <w:right w:val="none" w:sz="0" w:space="0" w:color="auto"/>
      </w:divBdr>
      <w:divsChild>
        <w:div w:id="2058772087">
          <w:blockQuote w:val="1"/>
          <w:marLeft w:val="0"/>
          <w:marRight w:val="0"/>
          <w:marTop w:val="0"/>
          <w:marBottom w:val="0"/>
          <w:divBdr>
            <w:top w:val="none" w:sz="0" w:space="0" w:color="auto"/>
            <w:left w:val="single" w:sz="18" w:space="8" w:color="DBDBDB"/>
            <w:bottom w:val="none" w:sz="0" w:space="0" w:color="auto"/>
            <w:right w:val="none" w:sz="0" w:space="0" w:color="auto"/>
          </w:divBdr>
        </w:div>
      </w:divsChild>
    </w:div>
    <w:div w:id="307364447">
      <w:bodyDiv w:val="1"/>
      <w:marLeft w:val="0"/>
      <w:marRight w:val="0"/>
      <w:marTop w:val="0"/>
      <w:marBottom w:val="0"/>
      <w:divBdr>
        <w:top w:val="none" w:sz="0" w:space="0" w:color="auto"/>
        <w:left w:val="none" w:sz="0" w:space="0" w:color="auto"/>
        <w:bottom w:val="none" w:sz="0" w:space="0" w:color="auto"/>
        <w:right w:val="none" w:sz="0" w:space="0" w:color="auto"/>
      </w:divBdr>
    </w:div>
    <w:div w:id="602148367">
      <w:bodyDiv w:val="1"/>
      <w:marLeft w:val="0"/>
      <w:marRight w:val="0"/>
      <w:marTop w:val="0"/>
      <w:marBottom w:val="0"/>
      <w:divBdr>
        <w:top w:val="none" w:sz="0" w:space="0" w:color="auto"/>
        <w:left w:val="none" w:sz="0" w:space="0" w:color="auto"/>
        <w:bottom w:val="none" w:sz="0" w:space="0" w:color="auto"/>
        <w:right w:val="none" w:sz="0" w:space="0" w:color="auto"/>
      </w:divBdr>
      <w:divsChild>
        <w:div w:id="674528709">
          <w:blockQuote w:val="1"/>
          <w:marLeft w:val="0"/>
          <w:marRight w:val="0"/>
          <w:marTop w:val="0"/>
          <w:marBottom w:val="0"/>
          <w:divBdr>
            <w:top w:val="none" w:sz="0" w:space="0" w:color="auto"/>
            <w:left w:val="single" w:sz="18" w:space="8" w:color="DBDBDB"/>
            <w:bottom w:val="none" w:sz="0" w:space="0" w:color="auto"/>
            <w:right w:val="none" w:sz="0" w:space="0" w:color="auto"/>
          </w:divBdr>
        </w:div>
      </w:divsChild>
    </w:div>
    <w:div w:id="1547840288">
      <w:bodyDiv w:val="1"/>
      <w:marLeft w:val="0"/>
      <w:marRight w:val="0"/>
      <w:marTop w:val="0"/>
      <w:marBottom w:val="0"/>
      <w:divBdr>
        <w:top w:val="none" w:sz="0" w:space="0" w:color="auto"/>
        <w:left w:val="none" w:sz="0" w:space="0" w:color="auto"/>
        <w:bottom w:val="none" w:sz="0" w:space="0" w:color="auto"/>
        <w:right w:val="none" w:sz="0" w:space="0" w:color="auto"/>
      </w:divBdr>
      <w:divsChild>
        <w:div w:id="1258900454">
          <w:blockQuote w:val="1"/>
          <w:marLeft w:val="0"/>
          <w:marRight w:val="0"/>
          <w:marTop w:val="0"/>
          <w:marBottom w:val="0"/>
          <w:divBdr>
            <w:top w:val="none" w:sz="0" w:space="0" w:color="auto"/>
            <w:left w:val="single" w:sz="18" w:space="8" w:color="DBDBDB"/>
            <w:bottom w:val="none" w:sz="0" w:space="0" w:color="auto"/>
            <w:right w:val="none" w:sz="0" w:space="0" w:color="auto"/>
          </w:divBdr>
        </w:div>
      </w:divsChild>
    </w:div>
    <w:div w:id="1949967364">
      <w:bodyDiv w:val="1"/>
      <w:marLeft w:val="0"/>
      <w:marRight w:val="0"/>
      <w:marTop w:val="0"/>
      <w:marBottom w:val="0"/>
      <w:divBdr>
        <w:top w:val="none" w:sz="0" w:space="0" w:color="auto"/>
        <w:left w:val="none" w:sz="0" w:space="0" w:color="auto"/>
        <w:bottom w:val="none" w:sz="0" w:space="0" w:color="auto"/>
        <w:right w:val="none" w:sz="0" w:space="0" w:color="auto"/>
      </w:divBdr>
      <w:divsChild>
        <w:div w:id="1707607197">
          <w:blockQuote w:val="1"/>
          <w:marLeft w:val="0"/>
          <w:marRight w:val="0"/>
          <w:marTop w:val="0"/>
          <w:marBottom w:val="0"/>
          <w:divBdr>
            <w:top w:val="none" w:sz="0" w:space="0" w:color="auto"/>
            <w:left w:val="single" w:sz="18" w:space="8" w:color="DBDBDB"/>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344</Words>
  <Characters>1964</Characters>
  <Application>Microsoft Office Word</Application>
  <DocSecurity>0</DocSecurity>
  <Lines>16</Lines>
  <Paragraphs>4</Paragraphs>
  <ScaleCrop>false</ScaleCrop>
  <Company/>
  <LinksUpToDate>false</LinksUpToDate>
  <CharactersWithSpaces>2304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dc:creator>
  <cp:keywords/>
  <dc:description/>
  <cp:lastModifiedBy>zx</cp:lastModifiedBy>
  <cp:revision>5</cp:revision>
  <dcterms:created xsi:type="dcterms:W3CDTF">2017-10-25T03:40:00Z</dcterms:created>
  <dcterms:modified xsi:type="dcterms:W3CDTF">2017-10-25T03:53:00Z</dcterms:modified>
</cp:coreProperties>
</file>